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AF" w:rsidRPr="00893184" w:rsidRDefault="00602F75" w:rsidP="00367F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 w:firstLine="277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                                </w:t>
      </w:r>
      <w:r w:rsidR="007E2B35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Додаток № 2</w:t>
      </w:r>
    </w:p>
    <w:p w:rsidR="00367F6B" w:rsidRPr="00893184" w:rsidRDefault="00367F6B" w:rsidP="00367F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 w:firstLine="277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ЗАТВЕРДЖЕНО</w:t>
      </w:r>
    </w:p>
    <w:p w:rsidR="00602F75" w:rsidRDefault="00602F75" w:rsidP="00602F7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 w:firstLine="277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Виконавчим комітетом</w:t>
      </w:r>
    </w:p>
    <w:p w:rsidR="00B1134D" w:rsidRPr="00893184" w:rsidRDefault="00602F75" w:rsidP="00602F7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 w:firstLine="277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міської ради</w:t>
      </w:r>
    </w:p>
    <w:p w:rsidR="00367F6B" w:rsidRPr="00893184" w:rsidRDefault="00367F6B" w:rsidP="00B113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 w:firstLine="277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від</w:t>
      </w:r>
      <w:r w:rsidR="00E7008B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«__» ___</w:t>
      </w:r>
      <w:r w:rsidR="00F041C2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</w:t>
      </w:r>
      <w:r w:rsidR="00E7008B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_</w:t>
      </w:r>
      <w:r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B1134D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20</w:t>
      </w:r>
      <w:r w:rsidR="00893184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__</w:t>
      </w:r>
      <w:r w:rsidR="00B1134D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р. №</w:t>
      </w:r>
      <w:r w:rsidR="00893184" w:rsidRPr="00893184">
        <w:rPr>
          <w:rFonts w:ascii="Times New Roman" w:eastAsia="Times New Roman" w:hAnsi="Times New Roman" w:cs="Times New Roman"/>
          <w:sz w:val="24"/>
          <w:szCs w:val="26"/>
          <w:lang w:eastAsia="ru-RU"/>
        </w:rPr>
        <w:t>____</w:t>
      </w:r>
    </w:p>
    <w:p w:rsidR="00367F6B" w:rsidRPr="00893184" w:rsidRDefault="00367F6B" w:rsidP="00367F6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3184" w:rsidRPr="00893184" w:rsidRDefault="00893184" w:rsidP="00367F6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</w:pPr>
    </w:p>
    <w:p w:rsidR="00893184" w:rsidRPr="00893184" w:rsidRDefault="00893184" w:rsidP="00367F6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</w:pPr>
    </w:p>
    <w:p w:rsidR="00367F6B" w:rsidRPr="00893184" w:rsidRDefault="00367F6B" w:rsidP="00367F6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  <w:t>ПОЛОЖЕННЯ</w:t>
      </w:r>
    </w:p>
    <w:p w:rsidR="00893184" w:rsidRPr="00893184" w:rsidRDefault="00367F6B" w:rsidP="00F6447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3184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  <w:t xml:space="preserve">про </w:t>
      </w:r>
      <w:r w:rsidR="007C15BB" w:rsidRPr="00893184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  <w:t xml:space="preserve">місцеву </w:t>
      </w:r>
      <w:r w:rsidR="00F6447C" w:rsidRPr="008931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комісію з питань техногенно-екологічної безпеки </w:t>
      </w:r>
    </w:p>
    <w:p w:rsidR="00367F6B" w:rsidRPr="00893184" w:rsidRDefault="00F6447C" w:rsidP="00F6447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та надзвичайних ситуацій 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1. </w:t>
      </w:r>
      <w:r w:rsidR="00CA71E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К</w:t>
      </w:r>
      <w:r w:rsidR="00CA71E5" w:rsidRPr="008931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омісія з питань техногенно-екологічної безпеки та надзвичайних ситуацій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(надалі – комісія) є постійно діючим органом, який утворюється </w:t>
      </w:r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виконавчим органом міської ради</w:t>
      </w:r>
      <w:r w:rsidR="001D0A6A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для координації діяльності </w:t>
      </w:r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органу місцевого самоврядування,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підприємств, установ та організацій, незалежно від форм власності,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2.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обласної </w:t>
      </w:r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та районної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комісії з питань техногенно-екологічної безпеки і надзвичайних ситуацій та цим Положенням.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3. Основними завданнями комісії на території </w:t>
      </w:r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відповідної адміністративно-територіальної одиниці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є: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3.1. Координація діяльності органів місцевого самоврядування, підприємств, установ та організацій, незалежно від форм власності, пов’язаної із: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функціонуванням </w:t>
      </w:r>
      <w:proofErr w:type="spellStart"/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Городоцької</w:t>
      </w:r>
      <w:proofErr w:type="spellEnd"/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proofErr w:type="spellStart"/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субланки</w:t>
      </w:r>
      <w:proofErr w:type="spellEnd"/>
      <w:r w:rsidR="007C15B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Львівської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ланки територіальної підсистеми єдиної системи цивільного захисту;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забезпеченням реалізації вимог техногенної та пожежної безпеки;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навчанням населення діям у надзвичайній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визначенням меж зони надзвичайної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здійсненням постійного прогнозування зони можливого поширення </w:t>
      </w:r>
      <w:r w:rsidR="007827D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надзвичайної ситуації та масштабів можливих наслідків;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організацією робіт із локалізації і ліквідації наслідків надзвичайної ситуації, залучення для цього необхідних сил і засобів.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3.2. Організація та здійснення: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заходів щодо життєзабезпечення населення, що постраждало внаслідок виникнення надзвичайної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hanging="1080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заходів з евакуації (у разі потреби);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567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lastRenderedPageBreak/>
        <w:t>радіаційного, хімічного, біологічного, інженерного та медичного захисту населення і територій від наслідків надзвичайної ситуації.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3.3. Вжиття заходів щодо забезпечення готовності </w:t>
      </w:r>
      <w:proofErr w:type="spellStart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Городоцької</w:t>
      </w:r>
      <w:proofErr w:type="spellEnd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proofErr w:type="spellStart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субланки</w:t>
      </w:r>
      <w:proofErr w:type="spellEnd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Львівської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ланки територіальної підсистеми єдиної державної системи цивільного захисту до дій в умовах надзвичайної ситуації та в особливий період.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3.4. Здійснення безперервного контролю за розвитком надзвичайної ситуації та обстановкою на аварійних об’єктах і прилеглих до них територіях.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3.5. Інформування органів управління цивільного захисту та населення про розвиток надзвичайної ситуації та заходи, що здійснюються.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3.6. Забезпечення:</w:t>
      </w:r>
    </w:p>
    <w:p w:rsidR="00367F6B" w:rsidRPr="00893184" w:rsidRDefault="00CA2A3D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живучості</w:t>
      </w:r>
      <w:r w:rsidR="00715FE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r w:rsidR="00367F6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об’єктів національної економіки та державного управління під час реагування на надзвичайну ситуацію;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санітарного та епідемічного благополуччя населення.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3.7. Організація та керівництво проведення робіт з ліквідації наслідків надзвичайних ситуацій місцевого рівня.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3.8. Встановлення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газо-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,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нафто-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або інших трубопроводів, залізничних вузлів, мостів, шляхопроводів тощо.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3.9. Визначення шляхів та способів вирішення проблемних питань, що виникають під час: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3.9.1. Функціонування </w:t>
      </w:r>
      <w:proofErr w:type="spellStart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Городоцької</w:t>
      </w:r>
      <w:proofErr w:type="spellEnd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proofErr w:type="spellStart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субланки</w:t>
      </w:r>
      <w:proofErr w:type="spellEnd"/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Львівської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ланки територіальної підсистеми єдиної державної системи цивільного захисту.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3.9.2. Здійснення заходів: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щодо соціального захисту населення, що постраждало внаслідок виникнення надзвичайної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щодо медичного та біологічного захисту населення у разі виникнення надзвичайної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середовища.</w:t>
      </w:r>
    </w:p>
    <w:p w:rsidR="00367F6B" w:rsidRPr="00893184" w:rsidRDefault="007436E1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3.10</w:t>
      </w:r>
      <w:r w:rsidR="00367F6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 Підвищення ефективності діяльності органів місцевого самоврядування, підприємств, установ та організацій, незалежно від форм власності, під час реагування на надзвичайну ситуацію.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4. Комісія відповідно до покладених на неї завдань: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4.1. У режимі повсякденної діяльності: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здійснює координацію діяльності місцевих органів </w:t>
      </w:r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місцевого самоврядування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щодо 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lastRenderedPageBreak/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367F6B" w:rsidRPr="00893184" w:rsidRDefault="00CA2A3D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бере </w:t>
      </w:r>
      <w:r w:rsidR="00367F6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участь у розгляді питань щодо утворення або припинення діяльності підприємств, установ та організацій, незалежно від форми власності, що використовують небезпечні технології (хімічні, радіаційні тощо);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4.2. У режимі підвищеної готовності: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</w:t>
      </w:r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хімічно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небезпечних об’єктах</w:t>
      </w:r>
      <w:r w:rsidR="00CA2A3D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, об’єктах підвищеної небезпеки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і прилеглих до них територіях, прогнозування можливості виникнення надзвичайної ситуації та її масштабів;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забезпечує координацію заходів щодо запобігання виникненню надзвичайної ситуації місцевого і об’єктового рівня;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координує заходи щодо створення резерву засобів індивідуального захисту та матеріальних резервів для запобігання виникненню надзвичайної ситуації та ліквідації її наслідків, визначає обсяги і порядок використання таких резервів;</w:t>
      </w:r>
    </w:p>
    <w:p w:rsidR="00204273" w:rsidRPr="00893184" w:rsidRDefault="00204273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паливо-енергетичного комплексу.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4.3. У режимі надзвичайної ситуації: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забезпечує координацію, організацію робіт та взаємодію органів управління, сил та засобів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організовує роботу з локалізації або ліквідації надзвичайної ситуації місцевого та об’єктового  рівня;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lastRenderedPageBreak/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місцевого та об’єктового рівня;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приймає рішення </w:t>
      </w:r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про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класифікаці</w:t>
      </w:r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ю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надзвичайної ситуації за </w:t>
      </w:r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кодом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, класифікаційними ознаками та рівнем, забезпечує своєчасне </w:t>
      </w:r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інформування ДСНС про прийняте рішення та подання матеріалів щодо підстав для прийняття такого рішення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вивчає обставини, що склалися, та подає </w:t>
      </w:r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органові, який її утворив,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інформацію про вжиті заходи, причини виникнення та результати ліквідації наслідків надзвичайної ситуації, а також пропозиції щодо подальших дій із запобігання її розвитку;</w:t>
      </w:r>
      <w:r w:rsidR="00A75A49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4.4. У режимі надзвичайного стану: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left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забезпечує координацію, організацію робіт та взаємодію органів управління та сил </w:t>
      </w:r>
      <w:proofErr w:type="spellStart"/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Городоцької</w:t>
      </w:r>
      <w:proofErr w:type="spellEnd"/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proofErr w:type="spellStart"/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субланки</w:t>
      </w:r>
      <w:proofErr w:type="spellEnd"/>
      <w:r w:rsidR="00204273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Львівської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ланки територіальної підсистеми єдиної державної системи цивільного захисту з урахуванням особливостей, що визначаються згідно з вимогами законів України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“Про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правовий режим воєнного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стану”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,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“Про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правовий режим надзвичайного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стану”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, а також інших нормативно-правових актів;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left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</w:t>
      </w:r>
      <w:r w:rsidR="00A75A49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рганів місцевого самоврядування.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5. Комісія має право: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залучати у разі потреби в установленому законодавством порядку до ліквідації наслідків надзвичайної ситуації місцевого та об’єктового рівня сили і засоби </w:t>
      </w:r>
      <w:proofErr w:type="spellStart"/>
      <w:r w:rsidR="00A75A49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Городоцької</w:t>
      </w:r>
      <w:proofErr w:type="spellEnd"/>
      <w:r w:rsidR="00A75A49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proofErr w:type="spellStart"/>
      <w:r w:rsidR="00A75A49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субланки</w:t>
      </w:r>
      <w:proofErr w:type="spellEnd"/>
      <w:r w:rsidR="00A75A49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Львівської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ланки територіальної підсистеми єдиної системи цивільного захисту;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заслуховувати інформацію керівників місцевих органів виконавчої влади, </w:t>
      </w:r>
      <w:r w:rsidR="00752ED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органів місцевого самоврядування,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підприємств, установ та організацій, розташованих на території відповідної адміністративно-територіальної одиниці, з питань, що належать до їх компетенції, і давати їм відповідні доручення;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одержувати від місцевих органів виконавчої влади, </w:t>
      </w:r>
      <w:r w:rsidR="00752ED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органів місцевого самоврядування,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підприємств, установ та організацій, незалежно від форм власності, розташованих на території</w:t>
      </w:r>
      <w:r w:rsidR="0037450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r w:rsidR="00752ED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відповідної адміністративно-територіальної одиниці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, матеріали і документи, необхідні для вирішення питань, що належать до її компетенції;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залучати до участі у своїй роботі представників місцевих органів виконавчої влади, </w:t>
      </w:r>
      <w:r w:rsidR="00752ED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органів місцевого самоврядування,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підприємств, установ та організацій, незалежно від форм власності, розташованих на території</w:t>
      </w:r>
      <w:r w:rsidR="0037450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r w:rsidR="00752ED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відповідної адміністративно-територіальної одиниці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(за погодженням з їх керівниками);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num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розглядати матеріали розслідувань про причини і наслідки виникнення надзвичайної ситуації та вносити пропозиції щодо притягнення до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lastRenderedPageBreak/>
        <w:t>адміністративної або кримінальної відповідальності посадових осіб, винних у її виникненні.</w:t>
      </w:r>
    </w:p>
    <w:p w:rsidR="00367F6B" w:rsidRPr="00893184" w:rsidRDefault="006E6B6F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6. Головою комісії є міський голова територіальної громади.</w:t>
      </w:r>
      <w:r w:rsidR="00367F6B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Роботою комісії керує її голова, а за відсутності голови — за його дорученням </w:t>
      </w:r>
      <w:r w:rsidR="00752ED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перший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заступник та за відсутності </w:t>
      </w:r>
      <w:r w:rsidR="00752ED5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першого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заступника —</w:t>
      </w:r>
      <w:r w:rsidR="00422887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</w:t>
      </w:r>
      <w:r w:rsidR="006E6B6F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секретар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422887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Засідання комісії веде голова, а за його відсутності —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перший заступник</w:t>
      </w:r>
      <w:r w:rsidR="006E6B6F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, секретар.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Посадовий склад комісії затверджується розпорядженням</w:t>
      </w:r>
      <w:r w:rsidR="00422887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міського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голови </w:t>
      </w:r>
      <w:r w:rsidR="001D0A6A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міста Городок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на основі пропозицій місцевих органів виконавчої влади, 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органів місцевого самоврядування,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підприємств, установ та організацій, незалежно від форм власності, розташованих на території 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відповідної адміністративно-територіальної одиниці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Персональний склад комісії затверджується головою комісії.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Голова комісії організовує її роботу за допомогою секретар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іату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367F6B" w:rsidRPr="00893184" w:rsidRDefault="00367F6B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7. Голова комісії має право: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left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left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приймати в межах повноважень комісії рішення щодо реагування на надзвичайну ситуацію;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left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367F6B" w:rsidRPr="00893184" w:rsidRDefault="00367F6B" w:rsidP="00893184">
      <w:pPr>
        <w:numPr>
          <w:ilvl w:val="0"/>
          <w:numId w:val="1"/>
        </w:numPr>
        <w:tabs>
          <w:tab w:val="clear" w:pos="1080"/>
          <w:tab w:val="left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делегувати на період ліквідації наслідків надзвичайної ситуації свої</w:t>
      </w:r>
      <w:r w:rsidR="00DA0D8C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повноваження заступни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кам голови комісії;</w:t>
      </w:r>
    </w:p>
    <w:p w:rsidR="00237202" w:rsidRPr="00893184" w:rsidRDefault="00237202" w:rsidP="00893184">
      <w:pPr>
        <w:numPr>
          <w:ilvl w:val="0"/>
          <w:numId w:val="1"/>
        </w:numPr>
        <w:tabs>
          <w:tab w:val="clear" w:pos="1080"/>
          <w:tab w:val="left" w:pos="709"/>
        </w:tabs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визначати функціональні обов’язки членів комісії (за напрямом роботи у складі комісії).</w:t>
      </w:r>
    </w:p>
    <w:p w:rsidR="00DA0D8C" w:rsidRPr="00893184" w:rsidRDefault="00367F6B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8. 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Робочим органом </w:t>
      </w:r>
      <w:r w:rsidR="00DA0D8C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комісії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(секретаріатом)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, що забезпечує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підготовку, скликання та проведення засідань, а також контроль за виконанням її рішень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, є структурний підрозділ з питань надзвичайних ситуацій виконавчого органу міської ради, яким утворена комісія</w:t>
      </w:r>
      <w:r w:rsidR="00DA0D8C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367F6B" w:rsidRPr="00893184" w:rsidRDefault="00367F6B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9. Комісія проводить засідання </w:t>
      </w:r>
      <w:r w:rsidR="00237202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 разі потреби, але не менше одного разу на три місяця ці згідно з планом роботи комісії,,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Рішення комісії приймаються колегіально більш як 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двома третинами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367F6B" w:rsidRPr="00893184" w:rsidRDefault="00367F6B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Рішення комісії оформляється протоколом, який підписується головою та 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відповідальним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секретарем комісії.</w:t>
      </w:r>
    </w:p>
    <w:p w:rsidR="001E7A28" w:rsidRPr="00893184" w:rsidRDefault="00893184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10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. Голова комісії може прийняти рішення про проведення засідання комісії в режимі </w:t>
      </w:r>
      <w:proofErr w:type="spellStart"/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відеоконференції</w:t>
      </w:r>
      <w:proofErr w:type="spellEnd"/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з використанням відповідного програмного забезпечення, зокрема через Інтернет (далі - </w:t>
      </w:r>
      <w:proofErr w:type="spellStart"/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онлайн-засідання</w:t>
      </w:r>
      <w:proofErr w:type="spellEnd"/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комісії). В </w:t>
      </w:r>
      <w:proofErr w:type="spellStart"/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онлайн-засіданні</w:t>
      </w:r>
      <w:proofErr w:type="spellEnd"/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комісії беруть участь члени комісії, а також інші особи, які визначені її головою.</w:t>
      </w:r>
    </w:p>
    <w:p w:rsidR="001E7A28" w:rsidRPr="00893184" w:rsidRDefault="001E7A28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bookmarkStart w:id="0" w:name="n108"/>
      <w:bookmarkEnd w:id="0"/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lastRenderedPageBreak/>
        <w:t>Онлайн-засідання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комісії можуть проводитися у невідкладних випадках, пов’язаних із запобіганням виникненню надзвичайних ситуацій, ліквідацією їх наслідків, а також з питань, пов’язаних з виникненням загрози життю та/або здоров’ю населення.</w:t>
      </w:r>
    </w:p>
    <w:p w:rsidR="001E7A28" w:rsidRPr="00893184" w:rsidRDefault="001E7A28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bookmarkStart w:id="1" w:name="n109"/>
      <w:bookmarkEnd w:id="1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Підготовка та проведення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онлайн-засідання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комісії здійснюються секретаріатом комісії за допомогою відповідних структурних підрозділів місцевих органів виконавчої влади та органів місцевого самоврядування.</w:t>
      </w:r>
    </w:p>
    <w:p w:rsidR="001E7A28" w:rsidRPr="00893184" w:rsidRDefault="001E7A28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bookmarkStart w:id="2" w:name="n110"/>
      <w:bookmarkEnd w:id="2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Секретаріат комісії забезпечує інформування членів комісії та інших визначених головуючим осіб, які будуть брати участь в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онлайн-засіданні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комісії, про дату і час проведення засідання та надсилає їм проект порядку денного.</w:t>
      </w:r>
    </w:p>
    <w:p w:rsidR="001E7A28" w:rsidRPr="00893184" w:rsidRDefault="001E7A28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bookmarkStart w:id="3" w:name="n111"/>
      <w:bookmarkEnd w:id="3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Організаційно-технічне забезпечення проведення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онлайн-засідання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комісії покладається на відповідний підрозділ місцевих органів виконавчої влади та органів місцевого самоврядування.</w:t>
      </w:r>
    </w:p>
    <w:p w:rsidR="001E7A28" w:rsidRPr="00893184" w:rsidRDefault="001E7A28" w:rsidP="00893184">
      <w:pPr>
        <w:suppressAutoHyphens/>
        <w:overflowPunct w:val="0"/>
        <w:autoSpaceDE w:val="0"/>
        <w:autoSpaceDN w:val="0"/>
        <w:adjustRightInd w:val="0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bookmarkStart w:id="4" w:name="n112"/>
      <w:bookmarkEnd w:id="4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Результати </w:t>
      </w:r>
      <w:proofErr w:type="spellStart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онлайн-засідання</w:t>
      </w:r>
      <w:proofErr w:type="spellEnd"/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комісії оформлюються протоколом, який підписується головуючим та відповідальним секретарем комісії.</w:t>
      </w:r>
    </w:p>
    <w:p w:rsidR="00367F6B" w:rsidRPr="00893184" w:rsidRDefault="00367F6B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1</w:t>
      </w:r>
      <w:r w:rsidR="00893184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1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 Рішення комісії, прийняті у межах її повноважень, є обов’язковими для виконання міс</w:t>
      </w:r>
      <w:r w:rsidR="00DA0D8C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цевими органами державної влади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, 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органами місцевого самоврядування, 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підприємствами, установами та організаціями, незалежно від форм власності, </w:t>
      </w:r>
      <w:r w:rsidR="00DA0D8C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розташовани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ми </w:t>
      </w:r>
      <w:r w:rsidR="00DA0D8C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на території 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відповідної адміністративно-територіальної одиниці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367F6B" w:rsidRPr="00893184" w:rsidRDefault="00367F6B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1</w:t>
      </w:r>
      <w:r w:rsidR="00893184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2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 За членами комісії на час виконання завдань зберігається заробітна плата за основним місцем роботи.</w:t>
      </w:r>
    </w:p>
    <w:p w:rsidR="00367F6B" w:rsidRPr="00893184" w:rsidRDefault="00367F6B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1</w:t>
      </w:r>
      <w:r w:rsidR="00893184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3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</w:t>
      </w:r>
      <w:r w:rsidR="00113BC7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 орган</w:t>
      </w:r>
      <w:r w:rsidR="001E7A28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, який утворив відповідну комісію.</w:t>
      </w:r>
    </w:p>
    <w:p w:rsidR="001E7A28" w:rsidRPr="00893184" w:rsidRDefault="001E7A28" w:rsidP="001A4665">
      <w:pPr>
        <w:suppressAutoHyphens/>
        <w:overflowPunct w:val="0"/>
        <w:autoSpaceDE w:val="0"/>
        <w:autoSpaceDN w:val="0"/>
        <w:adjustRightInd w:val="0"/>
        <w:spacing w:before="12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1</w:t>
      </w:r>
      <w:r w:rsidR="00893184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4</w:t>
      </w:r>
      <w:r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 xml:space="preserve">. Місцева комісія має бланк із зображенням Державного Герба України і </w:t>
      </w:r>
      <w:r w:rsidR="00893184" w:rsidRPr="00893184"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  <w:t>своїм найменуванням.</w:t>
      </w:r>
    </w:p>
    <w:p w:rsidR="00422887" w:rsidRDefault="00422887" w:rsidP="00367F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zh-CN"/>
        </w:rPr>
      </w:pPr>
    </w:p>
    <w:sectPr w:rsidR="00422887" w:rsidSect="001A4665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555BC"/>
    <w:multiLevelType w:val="hybridMultilevel"/>
    <w:tmpl w:val="98185406"/>
    <w:lvl w:ilvl="0" w:tplc="4620CE38">
      <w:start w:val="1"/>
      <w:numFmt w:val="bullet"/>
      <w:lvlText w:val=""/>
      <w:lvlJc w:val="left"/>
      <w:pPr>
        <w:tabs>
          <w:tab w:val="num" w:pos="2193"/>
        </w:tabs>
        <w:ind w:left="2193" w:hanging="371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44"/>
        </w:tabs>
        <w:ind w:left="18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84"/>
        </w:tabs>
        <w:ind w:left="32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04"/>
        </w:tabs>
        <w:ind w:left="40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24"/>
        </w:tabs>
        <w:ind w:left="47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44"/>
        </w:tabs>
        <w:ind w:left="54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64"/>
        </w:tabs>
        <w:ind w:left="61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84"/>
        </w:tabs>
        <w:ind w:left="6884" w:hanging="360"/>
      </w:pPr>
      <w:rPr>
        <w:rFonts w:ascii="Wingdings" w:hAnsi="Wingdings" w:hint="default"/>
      </w:rPr>
    </w:lvl>
  </w:abstractNum>
  <w:abstractNum w:abstractNumId="1">
    <w:nsid w:val="611940F2"/>
    <w:multiLevelType w:val="hybridMultilevel"/>
    <w:tmpl w:val="85B012C0"/>
    <w:lvl w:ilvl="0" w:tplc="B7A4BC3C">
      <w:start w:val="1"/>
      <w:numFmt w:val="bullet"/>
      <w:lvlText w:val=""/>
      <w:lvlJc w:val="left"/>
      <w:pPr>
        <w:tabs>
          <w:tab w:val="num" w:pos="1080"/>
        </w:tabs>
        <w:ind w:left="1080" w:hanging="371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59AB"/>
    <w:rsid w:val="00113BC7"/>
    <w:rsid w:val="001859AB"/>
    <w:rsid w:val="001A4665"/>
    <w:rsid w:val="001C4B7B"/>
    <w:rsid w:val="001D0A6A"/>
    <w:rsid w:val="001E7A28"/>
    <w:rsid w:val="00204273"/>
    <w:rsid w:val="00237202"/>
    <w:rsid w:val="00367F6B"/>
    <w:rsid w:val="00374508"/>
    <w:rsid w:val="00422887"/>
    <w:rsid w:val="00602F75"/>
    <w:rsid w:val="00605409"/>
    <w:rsid w:val="006253D5"/>
    <w:rsid w:val="006E6B6F"/>
    <w:rsid w:val="00715FED"/>
    <w:rsid w:val="007436E1"/>
    <w:rsid w:val="00752ED5"/>
    <w:rsid w:val="007827D8"/>
    <w:rsid w:val="007C15BB"/>
    <w:rsid w:val="007E2B35"/>
    <w:rsid w:val="008239AF"/>
    <w:rsid w:val="00893184"/>
    <w:rsid w:val="00945226"/>
    <w:rsid w:val="00A75A49"/>
    <w:rsid w:val="00B1134D"/>
    <w:rsid w:val="00B218CF"/>
    <w:rsid w:val="00C60872"/>
    <w:rsid w:val="00CA2A3D"/>
    <w:rsid w:val="00CA71E5"/>
    <w:rsid w:val="00DA0D8C"/>
    <w:rsid w:val="00E7008B"/>
    <w:rsid w:val="00F041C2"/>
    <w:rsid w:val="00F6447C"/>
    <w:rsid w:val="00F7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BC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C15BB"/>
    <w:rPr>
      <w:color w:val="0000FF" w:themeColor="hyperlink"/>
      <w:u w:val="single"/>
    </w:rPr>
  </w:style>
  <w:style w:type="paragraph" w:customStyle="1" w:styleId="rvps2">
    <w:name w:val="rvps2"/>
    <w:basedOn w:val="a"/>
    <w:rsid w:val="001E7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7">
    <w:name w:val="rvts37"/>
    <w:basedOn w:val="a0"/>
    <w:rsid w:val="001E7A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B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2315</Words>
  <Characters>13200</Characters>
  <Application>Microsoft Office Word</Application>
  <DocSecurity>0</DocSecurity>
  <Lines>110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MCSSSDM</dc:creator>
  <cp:lastModifiedBy>SZ2</cp:lastModifiedBy>
  <cp:revision>22</cp:revision>
  <cp:lastPrinted>2017-05-10T06:41:00Z</cp:lastPrinted>
  <dcterms:created xsi:type="dcterms:W3CDTF">2017-05-04T14:08:00Z</dcterms:created>
  <dcterms:modified xsi:type="dcterms:W3CDTF">2024-02-21T12:00:00Z</dcterms:modified>
</cp:coreProperties>
</file>